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255</w:t>
      </w:r>
    </w:p>
    <w:p>
      <w:r>
        <w:t>Bundesgericht (BGE), 1969-05-22, DE</w:t>
      </w:r>
    </w:p>
    <w:p>
      <w:r>
        <w:rPr>
          <w:b/>
        </w:rPr>
        <w:t xml:space="preserve">Quelle: </w:t>
      </w:r>
      <w:r>
        <w:t>https://mcp.opencaselaw.ch/entscheid/bge_95 II 255</w:t>
      </w:r>
    </w:p>
    <w:p>
      <w:r>
        <w:t>FR: ATF 95 II 255</w:t>
      </w:r>
    </w:p>
    <w:p>
      <w:r>
        <w:t>IT: DTF 95 II 255</w:t>
      </w:r>
    </w:p>
    <w:p>
      <w:pPr>
        <w:pStyle w:val="Heading2"/>
      </w:pPr>
      <w:r>
        <w:t>Regeste</w:t>
      </w:r>
    </w:p>
    <w:p>
      <w:r>
        <w:t>Regeste Eisenbahnhaftpflicht. 1. Voraussetzungen, unter denen ein Verschulden Dritter die Bahnunternehmung nach Art. 1 EHG von ihrer Haftpflicht befreit. Mangelhafte Beaufsichtigung des verunfallten Kleinkindes durch seine Eltern? (Erw. 4). 2. Dem Richter ist nicht gestattet, den rechtzeitig eingeklagten Anspruch auf Entschädigung für künftige Erwerbseinbusse (Art. 3 EHG) wegen der Schwierigkeiten der Abschätzung dieses Schadens zur Zeit abzuweisen und den Kläger auf eine neue Klage zu verweisen, sondern er hat den Anspruch festzusetzen, allenfalls unter Vorbehalt der Abänderung des Urteils nach Art. 10 EHG (Erw. 6). 3. Bei der Abschätzung der künftigen Erwerbseinbusse eines verunfallten Kindes darf nicht kurzerhand auf die medizinisch-theoretische Wertung des Invaliditätsgrades abgestellt werden. Vielmehr sind alle Umstände (insbesondere auch die beruflichen Aussichten des Kindes) zu berücksichtigen (Erw. 7). 4. Die Frist von zwei Jahren seit der Eröffnung des Urteils, die Art. 14 Abs. 1 Satz 2 EHG für Begehren auf Abänderung des Urteils im Sinne von Art. 10 EHG festsetzt, ist entgegen dem Wortlaut des Gesetzes nicht eine Verjährungsfrist, sondern wie die Fristen von Art. 36 Abs. 3 ElG und Art. 46 Abs. 2 OR eine Verwirkungsfrist (Erw. 9, 10). Verfahren. Bundesrechtlicher Anspruch auf materielle Prüfung prozessual ordnungsgemäss aufgestellter Rechtsbehauptungen (Erw. 8).</w:t>
      </w:r>
    </w:p>
    <w:p>
      <w:pPr>
        <w:pStyle w:val="Heading2"/>
      </w:pPr>
      <w:r>
        <w:t>Erwägungen</w:t>
      </w:r>
    </w:p>
    <w:p>
      <w:r>
        <w:rPr>
          <w:b/>
        </w:rPr>
        <w:t>E. 4</w:t>
      </w:r>
    </w:p>
    <w:p>
      <w:r>
        <w:t>Gemäss Art. 1 EHG haftet der Inhaber der Eisenbahnunternehmung, wenn beim Betrieb der Eisenbahn ein Mensch getötet oder verletzt wird, für den daraus entstandenen Schaden, sofern er nicht beweist, dass der Unfall durch höhere Gewalt, durch Verschulden Dritter oder durch Verschulden des Getöteten oder Verletzten verursacht ist. Höhere Gewalt scheidet im vorliegenden Falle als Unfallursache von vornherein aus; ebenso ein Selbstverschulden des Klägers, weil dieser als dreijähriges Kind noch nicht fähig war, die Folgen seines unvorsichtigen Verhaltens zu erkennen. Die Beklagte beruft sich denn auch nur auf den Entlastungsgrund des Drittverschuldens. a) Nach Rechtsprechung und Lehre schliessen ein Selbst- oder ein Drittverschulden die Haftung der Bahnunternehmung nur dann aus, wenn sie so schwer sind und das Unfallgeschehen so intensiv beeinflusst haben, dass daneben die Betriebsgefahr der Bahn als adäquate Ursache des Unfalls nicht mehr in Betracht kommt ( BGE 72 II 203 /04, BGE 81 II 163 mit weitern Hinweisen, BGE 87 II 308 , BGE 93 II 130 ). Bei Kinderunfällen besteht Einigkeit darüber, dass nicht jede Verletzung der durch Art. 333 Abs. 1 ZGB dem Familienhaupt auferlegten Pflicht zur Beaufsichtigung unmündiger Hausgenossen ein die Haftpflicht der Bahnunternehmung ausschliessendes Drittverschulden bedeutet ( BGE 72 II 204 , BGE 81 II 163 ). Kinder dürfen in ihrer Bewegungsfreiheit nicht allzusehr gehemmt werden. Von einem gewissen Alter an besteht eine Pflicht zu ihrer ständigen Überwachung BGE 95 II 255 S. 260 nicht mehr. Das übliche und durch die Umstände gebotene Mass von Sorgfalt in der Beaufsichtigung richtet sich ausserdem nach den örtlichen, sozialen und persönlichen Verhältnissen (vgl. hiezu OFTINGER, Schweiz. Haftpflichtrecht, 2. A., II/1 S. 268 ff.). b) Auf Grund der tatsächlichen Feststellungen, die das Obergericht durch Verweisung auf das erstinstanzliche Urteil getroffen hat und die gemäss Art. 63 Abs. 2 OG für das Bundesgericht verbindlich sind, kann, wie das Obergericht zutreffend ausführt, nicht angenommen werden, den Eltern des Klägers falle eine so schwere Verletzung ihrer Aufsichtspflicht zur Last und diese Pflichtverletzung habe das Unfallgeschehen so stark beeinflusst, dass die Betriebsgefahr der Bahn daneben nicht mehr als adäquate Ursache des Unfalls gelten könnte. Es steht fest, dass die Mutter des Klägers diesen, wenn er allein war, jeweils in ihrer unmittelbaren Nähe behielt. Er durfte jedoch mit seinem 43/4 jährigen Schwesterchen Silvia, das den Kindergarten besuchte, ausserhalb des Hauses spielen. Am Nachmittag des Unfalltags befand er sich zunächst bei der Mutter in der Küche. Nach 16 Uhr holte diese mit dem Kläger das Mädchen Silvia im Kindergarten ab. Hierauf erlaubte sie den beiden Kindern, zum Mädchen Ruth Fricker zu gehen. Sie selbst begab sich in den Garten. Es ist nun durchaus nichts Aussergewöhnliches, wenn sich Kinder, die noch nicht schulpflichtig sind, aber den Kindergarten besuchen, ohne besondere Aufsicht ausserhalb des elterlichen Hauses aufhalten, sei es, dass sie den Weg zum Kindergarten und zurück allein zurücklegen, sei es, dass sie mit andern Kindern spielen oder für die Mutter in der Nähe kleine Besorgungen machen. Namentlich in ländlichen Verhältnissen und in einfachen Arbeiterfamilien, wo die Mutter den Haushalt und die Kinder besorgen und daneben gegebenenfalls noch Heimarbeit übernehmen muss, wie es für die Mutter des Klägers zutraf, ist das nicht zu beanstanden, sofern die Kinder vor den Gefahren des Verkehrs gewarnt und ihrem Verständnis entsprechend über das richtige Verhalten auf der Strasse belehrt worden sind, und sofern keine Anhaltspunkte für eine ausgesprochene Unfolgsamkeit oder Unvorsichtigkeit vorliegen. Unter diesen Voraussetzungen erscheint es auch nicht als besonders tadelnswert, wenn solchen Kindern jüngere Geschwister, die allein das Haus nicht verlassen dürfen, zu kleinern Gängen oder zum Spielen ausserhalb des Hauses anvertraut werden. BGE 95 II 255 S. 261 Frau Furer hat ihre Kinder nach den vom Obergericht übernommenen Feststellungen des Kantonsgerichts über die Gefahren des Verkehrs belehrt, wenn sie auf die Strasse gingen. Sie hat ihnen freilich nicht ausdrücklich verboten, die Bahngeleise bei geschlossenen Schranken zu überschreiten. Mit dieser Gefahr hätte sie indessen nur dann ernstlich rechnen müssen, wenn das Mädchen Silvia dazu Anlass gegeben hätte oder wenn z.B. das Bahnpersonal den Eltern entsprechende Beobachtungen mitgeteilt hätte, was nicht geschehen ist. Die Schranken reichten in geschlossenem Zustand bis etwa 25 cm an den Boden heran, und es war nicht zu erwarten, dass ein an den Eisenbahnverkehr gewöhntes Kind - die Familie Fuhrer wohnte nur ca. 30 m vom Niveauübergang entfernt - darunter durchkriechen werde. Auf der Südseite des Bahnübergangs befindet sich freilich eine fest angebrachte Röhrenkonstruktion, die das östliche Ende des Bahnsteigs gegen die Strasse abschliesst. Dort konnte ein Kind leichter durchschlüpfen, weil die untere waagrechte Röhre 55 cm über dem Boden verläuft. Es konnte jedoch nicht abgeklärt werden, auf welchem Wege die beiden Kinder auf die Geleise gelangt waren. Die Beklagte rechnete wohl ebensowenig wie die Eltern des Klägers damit, dass der seitliche Abschluss für kleine Kinder eine Gefahr bedeute. Wären die beiden Geschwister dort durchgeschlüpft, so könnte ihr - ähnlich wie den Schweiz. Bundesbahnen im Falle 81 II 163 E. 2 - der Vorwurf nicht erspart werden, sie habe den Unfall mitverschuldet, indem sie diesen gefährlichen Zustand duldete. Sie hat diese Gefahr übrigens erkannt; denn wenige Tage nach dem Unfall wurde beim erwähnten Abschluss ein engmaschiges Drahtnetz angebracht. Liegt ein Verschulden der Eltern des Klägers, das den adäquaten Kausalzusammenhang zwischen der Betriebsgefahr der Bahn und dem Unfall zu unterbrechen vermöchte, nicht vor, so haftet die Beklagte dem Kläger für den aus dem Unfall entstandenen Schaden, und zwar hat sie diesen Schaden voll zu ersetzen. Eine allfällige Pflichtverletzung der Eltern könnte nur als Mitursache des Unfalls gewürdigt werden, und ein bloss mitursächliches Drittverschulden ist nicht bloss ungeeignet, die Bahn von ihrer Haftung zu befreien, sondern bildet auch keinen Grund für eine Ermässigung ihrer Ersatzpflicht ( BGE 81 II 165 ; OFTINGER a.a.O. I S. 249 Ziff. 7).</w:t>
      </w:r>
    </w:p>
    <w:p>
      <w:r>
        <w:rPr>
          <w:b/>
        </w:rPr>
        <w:t>E. 5</w:t>
      </w:r>
    </w:p>
    <w:p>
      <w:r>
        <w:t>Die Höhe der zu ersetzenden Arzt- und Spitalkosten (Disp. 1 des obergerichtlichen Urteils) steht ausser Streit. BGE 95 II 255 S. 262 Die Bestimmung des Obergerichtsurteils über die Prothesenkosten (Disp. 2) entspricht der Auffassung, welche die Beklagte vor Obergericht für den Fall der Bejahung ihrer Haftpflicht vertreten hat. Der Kläger ficht diese Bestimmung nicht an, obwohl sie ihm den Ersatz der fraglichen Kosten entgegen Art. 9 EHG weder in Form einer Kapitalsumme (vgl. hiezu BGE 89 II 23 /24) noch in Form einer jährlichen Rente noch in Form einer Verbindung von Kapital und Rente zuspricht. Streitig ist vor Bundesgericht hinsichtlich der Festsetzung des Schadenersatzes nur noch, in welchem Umfang und in welcher Weise der Kläger für Nachteile teilweiser Arbeitsunfähigkeit zu entschädigen sei (Disp. 3 des Obergerichtsurteils).</w:t>
      </w:r>
    </w:p>
    <w:p>
      <w:r>
        <w:rPr>
          <w:b/>
        </w:rPr>
        <w:t>E. 6</w:t>
      </w:r>
    </w:p>
    <w:p>
      <w:r>
        <w:t>Die Beklagte macht vor Bundesgericht wie vor Obergericht geltend, die Frage des Ersatzes für Erwerbsausfall müsse vorläufig offen bleiben, weil die Beeinträchtigung des Klägers in seiner Erwerbsfähigkeit heute noch nicht mit genügender Sicherheit abgeschätzt werden könne; diese Frage sei "in jenem Zeitpunkt periodisch zu beantworten, in welchem der Kläger tatsächlich in das Erwerbsleben eintritt". Diese Auffassung ist schon deshalb abzulehnen, weil die Schadenersatzklagen aus EHG gemäss Art. 14 Abs. 1 dieses Gesetzes innert zwei Jahren vom Tage des Unfalls an verjähren. Wenn somit die Forderung des Klägers auf Entschädigung für die Nachteile teilweiser Arbeitsunfähigkeit zur Zeit abgewiesen würde, könnte er sie allenfalls später wegen der inzwischen eingetretenen Verjährung nicht mehr einklagen (vgl. BGE 84 II 207 ff.). Es ginge nicht an, den Kläger, der rechtzeitig geklagt hat, auf Art. 14 Abs. 2 EHG zu verweisen, wonach die Verjährung nach den Bestimmungen des OR unterbrochen werden kann. Wie aus dem im Bundesrecht verankerten Anspruch auf Rechtsschutz sowie aus allgemeinen Grundsätzen des Schadenersatzrechts folgt ( BGE 86 II 45 b), ist es dem Richter nicht gestattet, die Abwicklung des Prozesses und die Beurteilung zu verzögern oder die Klage zur Zeit abzuweisen und den Kläger zu veranlassen, sie später nochmals anzubringen. Der Schaden muss vielmehr selbst dann, wenn sein Umfang von künftigen Ereignissen abhängt und daher noch nicht mit Sicherheit ermittelt werden kann, mit Rücksicht auf den gewöhnlichen Lauf der Dinge und die vom Geschädigten getroffenen Massnahmen ( Art. 42 Abs. 2 OR ) abgeschätzt werden ( BGE 86 II 45 b mit Hinweisen; vgl. auch BGE 77 II 299 ). Können die BGE 95 II 255 S. 263 Folgen einer Körperverletzung im Zeitpunkte der Urteilsfällung nicht mit hinreichender Sicherheit festgestellt werden, so darf der Richter gemäss Art. 10 EHG (oder gegebenenfalls Art. 46 Abs. 2 OR , Art. 36 Abs. 3 ElG ) ausnahmsweise (vgl. Art. 10 EHG und OFTINGER, a.a.O. I S. 197) eine Abänderung des Urteils vorbehalten. Er darf jedoch die Klage auch in einem solchen Falle nicht einfach zur Zeit abweisen, sondern hat über den gestellten Anspruch zu befinden und ihn unter dem Vorbehalt der Abänderung festzusetzen (was STARK in ZSR 1967 II 81Fussnote 180 freilich für gewisse Fälle als unpraktisch bezeichnet, ohne jedoch die rechtliche Begründung des Entscheides BGE 86 II 45 zu widerlegen, während GILLIARD in ZSR 1967 II 238ff., ohne diesen Entscheid zu besprechen, eine Revision des Art. 46 Abs. 2 OR vorschlägt). Der vor Erlass von Art. 46 Abs. 2 des geltenden OR ergangene, von OFTINGER (a.a.O. I S 200) gebilligte Entscheid BGE 24 II 430 (nicht 230) Erw. 4, der dem Gericht erlaubte, zunächst nur den liquiden Teil des eingeklagten Gesamtschadens zu beurteilen und dem Kläger für den noch illiquiden Teil eine spätere Klage vorzubehalten, ist in dieser Beziehung durch BGE 86 II 44 ff. (besonders S. 48) überholt. Soweit die Beklagte verlangt, Art und Höhe der Entschädigung für Erwerbsausfall seien heute noch nicht festzusetzen, ist die Berufung also unbegründet.</w:t>
      </w:r>
    </w:p>
    <w:p>
      <w:r>
        <w:rPr>
          <w:b/>
        </w:rPr>
        <w:t>E. 7</w:t>
      </w:r>
    </w:p>
    <w:p>
      <w:r>
        <w:t>Die Beklagte behauptet ausserdem, die dem Kläger zugesprochene Entschädigung für Nachteile teilweiser Arbeitsunfähigkeit sei zu hoch, weil nicht angenommen werden könne, der Kläger werde wegen des Verlusts des rechten Vorderarms eine Erwerbseinbusse von 70% erleiden; die Erwerbseinbusse entspreche nicht der Invalidität nach Gliedertaxe. Der vom Kantonsgericht beigezogene Sachverständige, Prof. Dr. M. R. Francillon, Leiter der Orthopädischen Klinik Balgrist in Zürich, nahm in seinem Gutachten vom 8. März 1965 an, mit Rücksicht auf die vielen Möglichkeiten, die dem Kläger als einem geistig gesunden, gut entwickelten und aufgeweckten Knaben trotz seiner Invalidität noch offen stehen, sei es angebracht, bei der Abschätzung der Erwerbseinbusse ohne Berücksichtigung des Berufs auf die sog. medizinisch-theoretischen Wertungen abzustellen, die eine Invalidität von etwa 70% ergäben; die Berufsfrage möge bei einem Kinde dann berücksichtigt werden, wenn es sich z.B. um einen Sohn handle, der den väterlichen Betrieb hätte übernehmen sollen und hiezu wegen BGE 95 II 255 S. 264 der Amputation nicht mehr imstande sei; ein solcher Fall liege nicht vor. Diese Auffassung leuchtet nicht ein. Der Sachverständige erklärt selbst, es sei etwas ganz anderes, ob z.B. ein Dachdecker oder ein Bankprokurist eine Verletzung erleide, wie sie dem Kläger widerfuhr. Ausserdem habe ein Kind unter der Voraussetzung der frühzeitigen Versorgung mit einer geeigneten Prothese eine viel grössere Fähigkeit zur Umstellung als der Erwachsene. Diesen Ausführungen hätte es entsprochen, wenn der Sachverständige bei der Abschätzung der künftigen Erwerbseinbusse des Klägers nicht kurzerhand auf die medizinischtheoretischen Wertungen abgestellt, sondern geprüft hätte, welche Berufsarten für den Kläger angesichts seiner körperlichen und geistigen Verfassung am ehesten in Frage kommen und wie sich seine Verstümmelung bei diesen Berufen voraussichtlich auswirken wird. Abgesehen davon, dass sich die Schlussfolgerung des Sachverständigen mit seinen eigenen Ausführungen nicht wohl verträgt, ist die Auffassung, bei der Abschätzung der künftigen Erwerbseinbusse des Klägers sei einfach auf die medizinischtheoretische Wertung seiner Invalidität abzustellen, aus rechtlichen Gründen abzulehnen. a) Nach Art. 3 EHG gibt eine Körperverletzung dem Geschädigten Anspruch auf Ersatz der Kosten und auf Entschädigung für die Nachteile gänzlicher oder teilweiser Arbeitsunfähigkeit. Überdies kann der Richter bei einer Verstümmelung oder Entstellung, durch welche das Fortkommen des Verletzten erschwert wird, auch dafür eine Entschädigung zusprechen. In Lehre und Rechtsprechung ist man sich darüber einig, dass Körperverletzungen an sich keinen Schaden im Sinne des Gesetzes darstellen. Ersatz ist vielmehr für die wirtschaftlichen Nachteile zu leisten, welche die Verletzung für den Verletzten mit sich bringt ( BGE 91 II 426 ). b) Wenn ein Kind eine Körperverletzung erleidet, die einen bleibenden körperlichen Nachteil zur Folge hat, so ist seine dereinstige Erwerbseinbusse sehr schwierig abzuschätzen. Das soll indessen nicht daran hindern, diese Schätzung unter Berücksichtigung aller in Betracht kommenden Umstände vorzunehmen. Dabei darf sich die noch verbleibende Ungewissheit nicht zu Ungunsten des Klägers auswirken. Sie muss vielmehr vom Beklagten, der für das schädigende Ereignis einzustehen hat, in Kauf genommen werden ( BGE 81 II 518 ). BGE 95 II 255 S. 265 c) Das Ausmass der Beeinträchtigung der Erwerbsfähigkeit darf jedoch nicht ohne weiteres dem Grad der sog. medizinischtheoretischen Invalidität, der in den "Gliedertaxen" zum Ausdruck kommt, gleichgesetzt werden ( BGE 72 II 206 , BGE 77 II 298 /99), zumal nicht bei einem Kinde. Kinder sind, wie auch der Sachverständige hervorgehoben hat, viel anpassungsfähiger als Erwachsene. Je jünger ein Kind ist, wenn es eine Verstümmelung erleidet, um so leichter wird es sich den Gegebenheiten anpassen und versuchen, die Beeinträchtigung so gut als möglich zu überwinden. Das gilt namentlich für Kinder, die noch die ganze Schul- und Lehrzeit vor sich haben, wie es für den Kläger zutrifft. Die Ausbildung kann entsprechend dem körperlichen Mangel geleitet und der Beruf so gewählt werden, dass der Mangel die Erwerbsfähigkeit möglichst wenig beeinträchtigt ( BGE 71 II 206 /07, BGE 70 II 140 /41). Sehr förderlich sind dabei die Massnahmen beruflicher Art (Berufsberatung, berufliche Ausbildung usw.) sowie die medizinischen Massnahmen, auf welche die Invaliden nach Art. 8 ff. des Bundesgesetzes über die Invalidenversicherung vom 19. Juni 1959 Anspruch haben. Aus diesen Gründen sah sich das Bundesgericht wiederholt veranlasst, kantonale Entscheidungen abzuändern, weil sie die Beeinträchtigung der Erwerbsfähigkeit zu hoch eingeschätzt hatten. In BGE 72 II 198 ff. wurde z.B. nur eine Verminderung von 25% angenommen, obwohl der damalige Kläger, ein Knabe, dem der rechte Fuss hatte abgenommen werden müssen, nach medizinisch-theoretischer Wertung zu 60% invalid war und die Vorinstanz eine Beeinträchtigung der Erwerbsfähigkeit von 40% angenommen hatte. In BGE 77 II 296 ff. wurde die Entschädigung für Körperschaden eines erwachsenen Klägers um rund Fr. 9500.-- herabgesetzt mit der Begründung, die medizinisch-theoretische Invalidität habe praktisch nur eine geringe Erwerbseinbusse zur Folge. In BGE 70 II 140 /41 wurde bemerkt, ein dreijähriges Mädchen werde sich "dans une large mesure" an die Unfallfolgen gewöhnen, was neben andern Gründen zu einer Abänderung des kantonalen Urteils zugunsten des Beklagten führte.</w:t>
      </w:r>
    </w:p>
    <w:p>
      <w:r>
        <w:rPr>
          <w:b/>
        </w:rPr>
        <w:t>E. 8</w:t>
      </w:r>
    </w:p>
    <w:p>
      <w:r>
        <w:t>Das Obergericht kam auf Grund ähnlicher Erwägungen zum Schluss, der Entscheid des Kantonsgerichts, das mit dem Sachverständigen eine Erwerbseinbusse von 70% annahm, führe "mit allergrösster Wahrscheinlichkeit zu einer - u.U. massiven - Bereicherung des Klägers". Es fand jedoch mehrheitlich, BGE 95 II 255 S. 266 diesen Bedenken könne aus prozessualen Gründen nicht unmittelbar - bei der Festsetzung der Entschädigung - Rechnung getragen werden, weil die Beklagte es unterlassen habe, "einen Eventualantrag im Quantitativ" zu stellen und gegen das Gutachten Francillon Einwendungen zu erheben. Daher stehe einzig der Ausweg offen, vom Amtes wegen einen Abänderungsvorbehalt zugunsten beider Parteien im Sinne von Art. 10 EHG ins Urteil aufzunehmen... (Ausführungen darüber, dass die Anträge, welche die Beklagte im kantonalen Verfahren stellte, den Antrag auf Herabsetzung der Entschädigung für die Nachteile teilweiser Erwerbsunfähigkeit in sich schlossen und dass die Beklagte im kantonalen Verfahren darlegte, weshalb die Beeinträchtigung der Erwerbsfähigkeit in Fällen wie dem vorliegenden nicht einfach der medizinisch-theoretischen Invalidität gleichgesetzt werden dürfe). Hat die Beklagte mit ihren kantonalen Rechtsbegehren wenigstens implicite auch die Herabsetzung der Erwerbsausfallentschädigung verlangt und Ausführungen gemacht, die zur Begründung dieses Begehrens dienen können, so war die Vorinstanz, nachdem sie die Haftung der Beklagten grundsätzlich bejaht hatte, von Bundesrechts wegen verpflichtet, den erstinstanzlichen Entscheid über die Höhe der Erwerbsausfallentschädigung zu überprüfen. Der kantonale Richter verletzt nämlich Bundesrecht, wenn er sich in einem Prozess über Ansprüche aus dem Bundeszivilrecht mit prozessual ordnungsgemäss aufgestellten Rechtsbehauptungen der Parteien nicht materiell auseinandersetzt (vgl. KUMMER, Das Klagerecht und die materielle Rechtskraft im schweiz. Recht, S. 60, sowie GULDENER und VOYAME, ZSR 1961 II S. 23 ff., 70).</w:t>
      </w:r>
    </w:p>
    <w:p>
      <w:r>
        <w:rPr>
          <w:b/>
        </w:rPr>
        <w:t>E. 9</w:t>
      </w:r>
    </w:p>
    <w:p>
      <w:r>
        <w:t>Wie schon bemerkt, fand die Mehrheit des Obergerichts, der Unsicherheit über das Mass der künftigen Erwerbseinbusse des Klägers könne nur durch einen Abänderungsvorbehalt im Sinne von Art. 10 EHG Rechnung getragen werden. Sie vertrat dabei die Meinung, die nach Art. 14 Abs. 1 EHG für die Abänderungsbegehren geltende Frist sei nach dem klaren Wortlaut des Gesetzes eine Verjährungsfrist; die Verjährung könne nach den Regeln des OR unterbrochen werden, bis der Kläger ins erwerbsfähige Alter eintrete. Art. 14 EHG lautet: "Die durch dieses Gesetz begründeten Schadenersatzklagen verjähren in zwei Jahren, welche von dem Tage des Unfalles an gerechnet BGE 95 II 255 S. 267 werden. Dieselbe Verjährungsfrist gilt für die aus Art. 10 sich ergebenden Begehren auf Erhöhung oder Herabsetzung der Schadenersatzsumme; sie läuft vom Tage der Eröffnung des Urteils an. Für den Stillstand, die Hinderung und die Unterbrechung der Verjährung gelten die Bestimmungen des Obligationenrechtes." Diese Bestimmung bezeichnet die Frist für Abänderungsbegehren im Sinne von Art. 10 EHG in der Tat als Verjährungsfrist. Sie deckt sich in dieser Hinsicht mit Art. 13 des nicht mehr geltenden Bundesgesetzes betr. die Haftpflicht aus Fabrikbetrieb vom 25. Brachmonat 1881 (FHG), der offenbar als Vorbild diente. Die genannte Bezeichnung ist jedoch für die rechtliche Würdigung der in Frage stehenden Frist nicht entscheidend; denn die schweizerischen Gesetze verwenden den Ausdruck Verjährung nicht immer im gleichen Sinne, sondern sprechen oft von Verjährung, wo es sich der Sache nach eindeutig um Verwirkung handelt (vgl. BGE 65 II 102 ff. und BGE 76 II 241 f. lit. c, wonach das z.B. für Art. 127 und 137/38 ZGB und für den Randtitel zu Art. 251 OR zutrifft; vgl. auch BGE 86 I 64 /65). Daher ist jeweils unter Berücksichtigung des ganzen Inhalts der betreffenden Bestimmung und des Zusammenhangs, in dem sie steht, sowie ihres Zwecks zu prüfen, ob man es mit einer Verjährungs- oder mit einer Verwirkungsfrist zu tun habe. Der erste Satz von Art. 14 Abs. 1 EHG betrifft die durch dieses Gesetz begründeten "Schadenersatzklagen". Damit sind offensichtlich die Schadenersatzansprüche im Sinne von Art. 1 ff. EHG gemeint. Indem Art. 14 EHG in Abs. 1 Satz 1 vorsieht, dass die Schadenersatzansprüche aus EHG in zwei Jahren vom Tage des Unfalls an verjähren, und in Abs. 2 für den Stillstand, die Hinderung und die Unterbrechung der Verjährung auf die Bestimmungen des OR verweist, ordnet er unzweifelhaft an, dass die genannten Ansprüche der Verjährung im eigentlichen Sinne dieses Wortes unterliegen. Die aus Art. 10 EHG sich ergebenden Begehren auf Erhöhung oder Herabsetzung der Schadenersatzsumme, von denen der zweite Satz von Art. 14 Abs. 1 EHG handelt, haben, wie aus Art. 10 EHG hervorgeht, eine Abänderung des Urteils zum Gegenstand. Eine solche kann nur der Richter vornehmen. Die Erhöhungs- oder Herabsetzungsbegehren sind daher beim Gericht anzubringen. Aufeinem andern Weg kann der Anspruch auf Erhöhung oder Herabsetzung der Entschädigung nicht durchgesetzt werden. Bei diesem Anspruch handelt es sich BGE 95 II 255 S. 268 selbst dann, wenn er auf eine Erhöhung der Entschädigung gerichtet ist, im Unterschied zu den in Art. 14 Abs. 1 Satz 1 behandelten Schadenersatzansprüchen nicht um eine Forderung, sondern der Anspruch geht auf eine richterliche Anordnung, die eine zusätzliche Forderung erst entstehen oder eine unter dem Vorbehalt der Abänderung festgesetzte Forderung teilweise wegfallen lässt. Eine solche Anordnung des Richters kann, wie aus Art. 10 EHG zu schliessen ist, nur einmal verlangt werden. Das folgt schon daraus, dass ein Abänderungsvorbehalt nur ausnahmsweise ins Urteil aufgenommen werden soll und dass Art. 10 Abs. 1 EHG von der Abänderung des Urteils in der Einzahl spricht ("die Abänderung des Urteils vorbehalten", "réserver une revision ultérieure du jugement", "riservare nella sentenza un aumento dell'indennità"). Das Gesetz ist unverkennbar bestrebt, die für beide Parteien nachteilige Ungewissheit über die Schadenersatzfolgen des Unfalles nicht zu lange dauern zu lassen (vgl. BGE 84 II 210 mit Hinweisen). Die Entstehungsgeschichte von Art. 14 EHG (Art. 11 des bundesrätlichen Entwurfs vom 1. März 1901, BBl 1901 I 690ff.) bestätigt das. Der von Müri in der nationalrätlichen Kommission gestellte und von Zürcher im Rate selbst wiederaufgenommene Antrag, die Bestimmung über die Verjährung der Abänderungsbegehren zu streichen, wurde nämlich von der Kommissionsmehrheit und vom Rate abgelehnt, weil im Interesse der Rechtssicherheit und mit Rücksicht auf die ökonomischen Folgen für beide Teile nach zwei Jahren am Urteil nicht mehr gerüttelt werden dürfe (vgl. die Wiedergabe des Standpunktes der Kommissionsmehrheit im Votum von Müri, Sten.Bull. 1902 S. 433, sowie die gegen den Antrag Müri/Zürcher gerichteten Voten von Bühlmann und Müller, a.a.O. S. 434). Im Ständerat führte der Berichterstatter Richard zur Begründung der Bestimmung über die Verjährung der Abänderungsbegehren u.a. aus, man dürfe die Tür zu einer Abänderung des frühern Urteils nicht während unbestimmter Zeit offen lassen; es liege im öffentlichen Interesse, dass die Prozesse ohne zu starke Verzögerung endgültig abgeschlossen werden und dass "les responsabilités ne demeurent pas indéfiniment suspendues sur la tête des intéressés" (Sten. Bull. 1904 S. 98). Das zeigt, dass dem Gesetzgeber trotz der Verwendung des Ausdrucks "Verjährung" im Grunde genommen eine Klagebefristung vorschwebte. BGE 95 II 255 S. 269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